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5D808">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default" w:ascii="方正小标宋简体" w:hAnsi="华文中宋" w:eastAsia="方正小标宋简体" w:cs="Times New Roman"/>
          <w:color w:val="auto"/>
          <w:sz w:val="44"/>
          <w:szCs w:val="44"/>
          <w:highlight w:val="none"/>
          <w:lang w:val="en-US" w:eastAsia="zh-CN"/>
          <w14:ligatures w14:val="none"/>
        </w:rPr>
      </w:pPr>
      <w:r>
        <w:rPr>
          <w:rFonts w:hint="eastAsia" w:ascii="方正小标宋简体" w:hAnsi="华文中宋" w:eastAsia="方正小标宋简体" w:cs="Times New Roman"/>
          <w:color w:val="auto"/>
          <w:sz w:val="44"/>
          <w:szCs w:val="44"/>
          <w:highlight w:val="none"/>
          <w14:ligatures w14:val="none"/>
        </w:rPr>
        <w:t>《平阳历史文化名城保护规划（2021—2035年）</w:t>
      </w:r>
      <w:r>
        <w:rPr>
          <w:rFonts w:hint="eastAsia" w:ascii="方正小标宋简体" w:hAnsi="华文中宋" w:eastAsia="方正小标宋简体" w:cs="Times New Roman"/>
          <w:color w:val="auto"/>
          <w:sz w:val="44"/>
          <w:szCs w:val="44"/>
          <w:highlight w:val="none"/>
          <w:lang w:eastAsia="zh-CN"/>
          <w14:ligatures w14:val="none"/>
        </w:rPr>
        <w:t>（草案）</w:t>
      </w:r>
      <w:r>
        <w:rPr>
          <w:rFonts w:hint="eastAsia" w:ascii="方正小标宋简体" w:hAnsi="华文中宋" w:eastAsia="方正小标宋简体" w:cs="Times New Roman"/>
          <w:color w:val="auto"/>
          <w:sz w:val="44"/>
          <w:szCs w:val="44"/>
          <w:highlight w:val="none"/>
          <w14:ligatures w14:val="none"/>
        </w:rPr>
        <w:t>》</w:t>
      </w:r>
      <w:r>
        <w:rPr>
          <w:rFonts w:hint="eastAsia" w:ascii="方正小标宋简体" w:hAnsi="华文中宋" w:eastAsia="方正小标宋简体" w:cs="Times New Roman"/>
          <w:color w:val="auto"/>
          <w:sz w:val="44"/>
          <w:szCs w:val="44"/>
          <w:highlight w:val="none"/>
          <w:lang w:val="en-US" w:eastAsia="zh-CN"/>
          <w14:ligatures w14:val="none"/>
        </w:rPr>
        <w:t>规划文本</w:t>
      </w:r>
    </w:p>
    <w:p w14:paraId="364D9D53">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仿宋_GB2312" w:hAnsi="仿宋_GB2312" w:eastAsia="仿宋_GB2312" w:cs="仿宋_GB2312"/>
          <w:color w:val="auto"/>
          <w:sz w:val="32"/>
          <w:szCs w:val="32"/>
          <w:highlight w:val="none"/>
          <w14:ligatures w14:val="none"/>
        </w:rPr>
      </w:pPr>
    </w:p>
    <w:p w14:paraId="5A993AA3">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eastAsia="黑体" w:cs="黑体"/>
          <w:b w:val="0"/>
          <w:color w:val="auto"/>
          <w:sz w:val="32"/>
          <w:szCs w:val="32"/>
          <w:highlight w:val="none"/>
          <w14:ligatures w14:val="none"/>
        </w:rPr>
      </w:pPr>
      <w:r>
        <w:rPr>
          <w:rFonts w:hint="eastAsia" w:ascii="黑体" w:hAnsi="黑体" w:eastAsia="黑体" w:cs="黑体"/>
          <w:b w:val="0"/>
          <w:color w:val="auto"/>
          <w:sz w:val="32"/>
          <w:szCs w:val="32"/>
          <w:highlight w:val="none"/>
          <w:lang w:eastAsia="zh-CN"/>
          <w14:ligatures w14:val="none"/>
        </w:rPr>
        <w:t>一、</w:t>
      </w:r>
      <w:r>
        <w:rPr>
          <w:rFonts w:hint="eastAsia" w:ascii="黑体" w:hAnsi="黑体" w:eastAsia="黑体" w:cs="黑体"/>
          <w:b w:val="0"/>
          <w:color w:val="auto"/>
          <w:sz w:val="32"/>
          <w:szCs w:val="32"/>
          <w:highlight w:val="none"/>
          <w14:ligatures w14:val="none"/>
        </w:rPr>
        <w:t>总则</w:t>
      </w:r>
    </w:p>
    <w:p w14:paraId="436B75FA">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规划目的</w:t>
      </w:r>
    </w:p>
    <w:p w14:paraId="0C99CDD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系统性、整体性加强平阳县历史文化名城的保护，进一步彰显名城的地位与价值，促进名城保护与社会经济的协调发展，指导城市保护和更新的协调发展，统筹安排名城保护管理与建设实施工作，特制定本规划。</w:t>
      </w:r>
    </w:p>
    <w:p w14:paraId="037A78AA">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规划原则</w:t>
      </w:r>
    </w:p>
    <w:p w14:paraId="0C73D725">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坚持价值导向、应保尽保</w:t>
      </w:r>
    </w:p>
    <w:p w14:paraId="5311618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梳理平阳县历史文化名城价值，以六大价值为导向，挖掘优秀历史文化资源，在“全域全要素”的基本方针下，构建历史文化资源保护数据库，应保尽保，对区域内优秀各类历史文化资源进行针对性保护。</w:t>
      </w:r>
    </w:p>
    <w:p w14:paraId="5CD890DA">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坚持尊重历史、延续文脉</w:t>
      </w:r>
    </w:p>
    <w:p w14:paraId="7B39D6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历史文化资源不仅仅提供了直观的外表和建筑形式信息，同时也是区域内的珍贵历史记忆，坚持对历史文化资源的良好保护，是尊重当地历史，延续传统文脉的重要手段。</w:t>
      </w:r>
    </w:p>
    <w:p w14:paraId="74DC89DF">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坚持合理利用、传承发展</w:t>
      </w:r>
    </w:p>
    <w:p w14:paraId="4BA2145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在保护平阳县历史文化资源的同时，注重对其的利用与发展，发掘展示其自身的历史价值与历史内涵，以历史文化资源为载体，传承发展当地优秀传统文化，积极推动文化产业发展，实现文保工作的可持续发展。</w:t>
      </w:r>
    </w:p>
    <w:p w14:paraId="23F32FD7">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坚持以人为本、改善民生</w:t>
      </w:r>
    </w:p>
    <w:p w14:paraId="437F039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传统历史文化资源，如历史建筑、文保单位等，因其时间久远，往往年久失修，缺少维护，本规划坚持以人为本，在不破坏历史文化资源本体原真性的前提下，对其进行保护性修缮，提升住户的居住环境，改善民生。</w:t>
      </w:r>
    </w:p>
    <w:p w14:paraId="7ABA0322">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坚持多方参与、形成合力</w:t>
      </w:r>
    </w:p>
    <w:p w14:paraId="4D17278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政府为主导，统筹保护历史文化资源，吸引多方参与对历史文化资源进行合理的活化利用，推动文化经济发展。同时引导公众参与，开辟渠道，对历史文化资源进行日常监督保护。多方共同参与，形成合力，有效保护与传承历史文化资源。</w:t>
      </w:r>
    </w:p>
    <w:p w14:paraId="0C549A19">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规划范围</w:t>
      </w:r>
    </w:p>
    <w:p w14:paraId="24A8771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本次规划范围为平阳县行政辖区范围，包括下辖14个镇、2个乡。县陆域面积约1035.64平方公里，海域面积约1183.90平方公里。本规划以平阳历史城区为重点。</w:t>
      </w:r>
    </w:p>
    <w:p w14:paraId="6DEC93AD">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eastAsia="黑体" w:cs="黑体"/>
          <w:b w:val="0"/>
          <w:color w:val="auto"/>
          <w:sz w:val="32"/>
          <w:szCs w:val="32"/>
          <w:highlight w:val="none"/>
          <w:lang w:eastAsia="zh-CN"/>
          <w14:ligatures w14:val="none"/>
        </w:rPr>
      </w:pPr>
      <w:r>
        <w:rPr>
          <w:rFonts w:hint="eastAsia" w:ascii="黑体" w:hAnsi="黑体" w:eastAsia="黑体" w:cs="黑体"/>
          <w:b w:val="0"/>
          <w:color w:val="auto"/>
          <w:sz w:val="32"/>
          <w:szCs w:val="32"/>
          <w:highlight w:val="none"/>
          <w:lang w:eastAsia="zh-CN"/>
          <w14:ligatures w14:val="none"/>
        </w:rPr>
        <w:t>二、主要内容</w:t>
      </w:r>
    </w:p>
    <w:p w14:paraId="27EA3F26">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保护框</w:t>
      </w:r>
      <w:bookmarkStart w:id="15" w:name="_GoBack"/>
      <w:bookmarkEnd w:id="15"/>
      <w:r>
        <w:rPr>
          <w:rFonts w:hint="eastAsia" w:ascii="仿宋_GB2312" w:hAnsi="仿宋_GB2312" w:eastAsia="仿宋_GB2312" w:cs="仿宋_GB2312"/>
          <w:color w:val="auto"/>
          <w:sz w:val="32"/>
          <w:szCs w:val="32"/>
          <w:highlight w:val="none"/>
        </w:rPr>
        <w:t>架</w:t>
      </w:r>
    </w:p>
    <w:p w14:paraId="60854C7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基于平阳历史名城价值特色与历史文化资源分布特征，规划构建县域、历史城区、历史文化街区（历史地段）、历史文化遗存（文物古迹和非物质文化遗产）四个层面的保护框架体系，突出整体性保护。</w:t>
      </w:r>
    </w:p>
    <w:p w14:paraId="74D3BC95">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val="en-US" w:eastAsia="zh-CN" w:bidi="en-US"/>
        </w:rPr>
        <w:t>1.</w:t>
      </w:r>
      <w:r>
        <w:rPr>
          <w:rFonts w:hint="eastAsia" w:ascii="仿宋_GB2312" w:hAnsi="仿宋_GB2312" w:eastAsia="仿宋_GB2312" w:cs="仿宋_GB2312"/>
          <w:color w:val="auto"/>
          <w:sz w:val="32"/>
          <w:szCs w:val="32"/>
          <w:highlight w:val="none"/>
          <w:lang w:bidi="en-US"/>
        </w:rPr>
        <w:t>县域层面</w:t>
      </w:r>
    </w:p>
    <w:p w14:paraId="79F69F4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保护平阳县域内的各类文化遗产，明确县域总体层面保护框架，梳理县域历史文化遗产资源；重点保护山川形胜、历史村镇、区域尺度的文化功能区、线性文化遗产等，提出指导性保护要求。</w:t>
      </w:r>
    </w:p>
    <w:p w14:paraId="05497071">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val="en-US" w:eastAsia="zh-CN" w:bidi="en-US"/>
        </w:rPr>
        <w:t>2.</w:t>
      </w:r>
      <w:r>
        <w:rPr>
          <w:rFonts w:hint="eastAsia" w:ascii="仿宋_GB2312" w:hAnsi="仿宋_GB2312" w:eastAsia="仿宋_GB2312" w:cs="仿宋_GB2312"/>
          <w:color w:val="auto"/>
          <w:sz w:val="32"/>
          <w:szCs w:val="32"/>
          <w:highlight w:val="none"/>
          <w:lang w:bidi="en-US"/>
        </w:rPr>
        <w:t>历史城区层面</w:t>
      </w:r>
    </w:p>
    <w:p w14:paraId="6D6B461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对历史城区整体格局和风貌特色进行保护，突出平阳“城”本身的格局特征与价值，重点保护延续城址环境、古城传统格局、肌理与历史风貌；制定历史街巷、历史水系、视线通廊、建筑高度等保护控制要求；提出历史城区的功能、交通、公共空间等改善提升的措施。</w:t>
      </w:r>
    </w:p>
    <w:p w14:paraId="476CAC2F">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val="en-US" w:eastAsia="zh-CN" w:bidi="en-US"/>
        </w:rPr>
        <w:t>3.</w:t>
      </w:r>
      <w:r>
        <w:rPr>
          <w:rFonts w:hint="eastAsia" w:ascii="仿宋_GB2312" w:hAnsi="仿宋_GB2312" w:eastAsia="仿宋_GB2312" w:cs="仿宋_GB2312"/>
          <w:color w:val="auto"/>
          <w:sz w:val="32"/>
          <w:szCs w:val="32"/>
          <w:highlight w:val="none"/>
          <w:lang w:bidi="en-US"/>
        </w:rPr>
        <w:t>历史文化街区（历史地段）层面</w:t>
      </w:r>
    </w:p>
    <w:p w14:paraId="2F165A0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重点划定历史文化街区（历史地段）保护区划范围、内容和保护要求，提出街区功能优化和建设控制要求，保护历史文化街区（历史地段）内的建筑、街巷肌理和原真生活的延续性。</w:t>
      </w:r>
    </w:p>
    <w:p w14:paraId="07884E95">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val="en-US" w:eastAsia="zh-CN" w:bidi="en-US"/>
        </w:rPr>
        <w:t>4.</w:t>
      </w:r>
      <w:r>
        <w:rPr>
          <w:rFonts w:hint="eastAsia" w:ascii="仿宋_GB2312" w:hAnsi="仿宋_GB2312" w:eastAsia="仿宋_GB2312" w:cs="仿宋_GB2312"/>
          <w:color w:val="auto"/>
          <w:sz w:val="32"/>
          <w:szCs w:val="32"/>
          <w:highlight w:val="none"/>
          <w:lang w:bidi="en-US"/>
        </w:rPr>
        <w:t>历史文化遗存（文物古迹和非物质文化遗产）层面</w:t>
      </w:r>
    </w:p>
    <w:p w14:paraId="133B58A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对文物保护单位、文物保护点、历史建筑、传统风貌建筑和历史环境要素进行保护。保护并弘扬民俗艺术、传统技艺及传统人文活动等地方传统文化。</w:t>
      </w:r>
    </w:p>
    <w:p w14:paraId="66C51D84">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保护内容</w:t>
      </w:r>
    </w:p>
    <w:p w14:paraId="330A2DCA">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val="en-US" w:eastAsia="zh-CN" w:bidi="en-US"/>
        </w:rPr>
        <w:t>1.</w:t>
      </w:r>
      <w:r>
        <w:rPr>
          <w:rFonts w:hint="eastAsia" w:ascii="仿宋_GB2312" w:hAnsi="仿宋_GB2312" w:eastAsia="仿宋_GB2312" w:cs="仿宋_GB2312"/>
          <w:color w:val="auto"/>
          <w:sz w:val="32"/>
          <w:szCs w:val="32"/>
          <w:highlight w:val="none"/>
          <w:lang w:bidi="en-US"/>
        </w:rPr>
        <w:t>县域层面</w:t>
      </w:r>
    </w:p>
    <w:p w14:paraId="288B7A3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南雁荡山脉、天狮山、古盘山等三大山脉体系；保护“一海”——南麂列岛海域、“一江”——鳌江、“两河”——瑞平塘河及西塘河、“四大河网”——万全河网、鳌江河网、萧麻河网、北港河网、“八大溪流”——墨城溪、梅溪、带溪、凤卧溪、怀溪、闹村溪、岳溪、青街溪等重要水系；保护自然保护地共3处；保护历史生态景观2项，包括生态湿地农业景观和海滨滩涂生态景观。</w:t>
      </w:r>
    </w:p>
    <w:p w14:paraId="09DD90E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保护与平阳历史文化价值相关的中国历史文化名镇1处、浙江省历史文化名镇1处、平阳县历史文化名镇5处、浙江省历史文化名村2处、平阳县历史文化名村5处、中国传统村落2处；拟推荐浙江省历史文化名村1处。</w:t>
      </w:r>
    </w:p>
    <w:p w14:paraId="140C31AE">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val="en-US" w:eastAsia="zh-CN" w:bidi="en-US"/>
        </w:rPr>
        <w:t>2.</w:t>
      </w:r>
      <w:r>
        <w:rPr>
          <w:rFonts w:hint="eastAsia" w:ascii="仿宋_GB2312" w:hAnsi="仿宋_GB2312" w:eastAsia="仿宋_GB2312" w:cs="仿宋_GB2312"/>
          <w:color w:val="auto"/>
          <w:sz w:val="32"/>
          <w:szCs w:val="32"/>
          <w:highlight w:val="none"/>
          <w:lang w:bidi="en-US"/>
        </w:rPr>
        <w:t>历史城区层面</w:t>
      </w:r>
    </w:p>
    <w:p w14:paraId="32DA923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保护历史城区的山水格局、古城格局、传统街巷44条；保护历史城区及周边与名城价值特色密切相关的重要视线廊道及景观通廊共3条。</w:t>
      </w:r>
    </w:p>
    <w:p w14:paraId="06271B33">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val="en-US" w:eastAsia="zh-CN" w:bidi="en-US"/>
        </w:rPr>
        <w:t>3.</w:t>
      </w:r>
      <w:r>
        <w:rPr>
          <w:rFonts w:hint="eastAsia" w:ascii="仿宋_GB2312" w:hAnsi="仿宋_GB2312" w:eastAsia="仿宋_GB2312" w:cs="仿宋_GB2312"/>
          <w:color w:val="auto"/>
          <w:sz w:val="32"/>
          <w:szCs w:val="32"/>
          <w:highlight w:val="none"/>
          <w:lang w:bidi="en-US"/>
        </w:rPr>
        <w:t>历史文化街区（历史地段）层面</w:t>
      </w:r>
    </w:p>
    <w:p w14:paraId="254B2C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保护历史文化街区2处，坡南街历史文化街区、东门街历史文化街区；拟推荐历史地段3处，南雁镇东门老街历史地段、山门镇山门老街历史地段、鳌江镇钱仓老街历史地段。</w:t>
      </w:r>
    </w:p>
    <w:p w14:paraId="4FED59FB">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val="en-US" w:eastAsia="zh-CN" w:bidi="en-US"/>
        </w:rPr>
        <w:t>4.</w:t>
      </w:r>
      <w:r>
        <w:rPr>
          <w:rFonts w:hint="eastAsia" w:ascii="仿宋_GB2312" w:hAnsi="仿宋_GB2312" w:eastAsia="仿宋_GB2312" w:cs="仿宋_GB2312"/>
          <w:color w:val="auto"/>
          <w:sz w:val="32"/>
          <w:szCs w:val="32"/>
          <w:highlight w:val="none"/>
          <w:lang w:bidi="en-US"/>
        </w:rPr>
        <w:t>历史文化遗存（文物古迹和非物质文化遗产）层面</w:t>
      </w:r>
    </w:p>
    <w:p w14:paraId="5FA1DE01">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不可移动文物</w:t>
      </w:r>
    </w:p>
    <w:p w14:paraId="5FCEB4D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保护县域范围内已登记的不可移动文物，涵盖全国重点文物保护单位、浙江省文物保护单位、县级文物保护单位、文物保护点、第三次全国文物普查登记不可移动文物以及第四次全国文物普查新发现不可移动文物。</w:t>
      </w:r>
    </w:p>
    <w:p w14:paraId="17FB7159">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历史建筑</w:t>
      </w:r>
    </w:p>
    <w:p w14:paraId="243818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保护县域范围内历史建筑172处，其中历史城区范围内57处。本规划确定的17处拟推荐历史建筑，应参照历史建筑进行保护。</w:t>
      </w:r>
    </w:p>
    <w:p w14:paraId="170C3228">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历史环境要素</w:t>
      </w:r>
    </w:p>
    <w:p w14:paraId="49ECF8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保护县域范围内已登录的938株古树名木；保护水井、古桥、牌坊、门台等历史环境要素共173处。重点保护历史城区范围内古树名木16株、其他历史环境要素共33处。</w:t>
      </w:r>
    </w:p>
    <w:p w14:paraId="22F6F9E7">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其他历史文化遗产</w:t>
      </w:r>
    </w:p>
    <w:p w14:paraId="77DDE17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保护县域范围内农业文化遗产5项、水文化遗产36项、不可移动革命文物43项、工业遗产7项。</w:t>
      </w:r>
    </w:p>
    <w:p w14:paraId="161E93AE">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非物质文化遗产</w:t>
      </w:r>
    </w:p>
    <w:p w14:paraId="2E1435C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各级非物质文化遗产项目193项，其中国家级非物质文化遗产4项，省级非物质文化遗产18项，市级非物质文化遗产94项，区县级77项。保护非遗传承人共403名，其中国家级非遗传承人5人，省级非遗传承人35人，市级非遗传承人105人，县级非遗代表性传承人258人。保护非遗传承基地数量52个，非遗宣传展示基地5个。</w:t>
      </w:r>
    </w:p>
    <w:p w14:paraId="585FFCA4">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其他优秀传统文化</w:t>
      </w:r>
    </w:p>
    <w:p w14:paraId="756C08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保护县域范围内地名文化遗产36项、老字号17项及重要名人文化10项。</w:t>
      </w:r>
    </w:p>
    <w:p w14:paraId="4C8575F0">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普查保护对象</w:t>
      </w:r>
    </w:p>
    <w:p w14:paraId="370A473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持续加强平阳县各乡镇城乡历史文化资源普查，逐步将符合要求的普查对象纳入保护体系中，加强名录动态更新与预先保护。</w:t>
      </w:r>
    </w:p>
    <w:p w14:paraId="205BBAD7">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保护重点</w:t>
      </w:r>
    </w:p>
    <w:p w14:paraId="7A1B8F1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重点保护能够体现平阳历史发展脉络、承载平阳历史文化价值与特色的文化遗产，以平阳历史城区及其周边环境为重点空间范围，包括：</w:t>
      </w:r>
    </w:p>
    <w:p w14:paraId="0E4E30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重点保护平阳古城“四山为屏、一轴穿城、南北斜长、街巷纵横”的空间格局，并以鸣山、昆山（九凰山）、仙坛山（东门山）、龙山等自然山体及文明塔、通福门、文昌阁等不同历史时期的人文地标为关键控制点，系统性保护与改善其间的景观视线通廊，维系古城传统的空间意象。</w:t>
      </w:r>
    </w:p>
    <w:p w14:paraId="68A8F24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重点保护坡南街历史文化街区及东门街历史文化街区，将其作为承载平阳古城千年演进脉络、展现传统商业与居住风貌的核心物质载体。</w:t>
      </w:r>
    </w:p>
    <w:p w14:paraId="346366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重点保护浙南石棚墓群——龙山头石棚墓、栖真寺五佛塔、顺溪古建筑群等重要文物保护单位，重点阐释与传承其承载的史前文明、古建筑技艺、浙南山地民居聚落文化等。</w:t>
      </w:r>
    </w:p>
    <w:p w14:paraId="6471A4A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重点保护抗日救亡干部学校旧址、中共浙江临时省委成立旧址、中共浙江省第一次代表大会会址、红军挺进师驻地（平阳）旧址等革命史迹，系统展现平阳作为浙南革命根据地中心与“浙南红都”的红色文化。</w:t>
      </w:r>
    </w:p>
    <w:p w14:paraId="76C7CC0D">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eastAsia="黑体" w:cs="黑体"/>
          <w:b w:val="0"/>
          <w:color w:val="auto"/>
          <w:sz w:val="32"/>
          <w:szCs w:val="32"/>
          <w:highlight w:val="none"/>
          <w14:ligatures w14:val="none"/>
        </w:rPr>
      </w:pPr>
      <w:r>
        <w:rPr>
          <w:rFonts w:hint="eastAsia" w:ascii="黑体" w:hAnsi="黑体" w:eastAsia="黑体" w:cs="黑体"/>
          <w:b w:val="0"/>
          <w:color w:val="auto"/>
          <w:sz w:val="32"/>
          <w:szCs w:val="32"/>
          <w:highlight w:val="none"/>
          <w:lang w:eastAsia="zh-CN"/>
          <w14:ligatures w14:val="none"/>
        </w:rPr>
        <w:t>（三）</w:t>
      </w:r>
      <w:r>
        <w:rPr>
          <w:rFonts w:hint="eastAsia" w:ascii="黑体" w:hAnsi="黑体" w:eastAsia="黑体" w:cs="黑体"/>
          <w:b w:val="0"/>
          <w:color w:val="auto"/>
          <w:sz w:val="32"/>
          <w:szCs w:val="32"/>
          <w:highlight w:val="none"/>
          <w14:ligatures w14:val="none"/>
        </w:rPr>
        <w:t>历史文化价值与特色</w:t>
      </w:r>
    </w:p>
    <w:p w14:paraId="69EBFFF0">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历史文化价值</w:t>
      </w:r>
    </w:p>
    <w:p w14:paraId="1DC685B6">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1</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千年古邑，温州地区历史发展见证地</w:t>
      </w:r>
    </w:p>
    <w:p w14:paraId="640463B1">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2</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浙闽要塞，浙东海防军事交通重地</w:t>
      </w:r>
    </w:p>
    <w:p w14:paraId="17716F92">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3</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千年商埠，浙闽航运商贸枢纽地</w:t>
      </w:r>
    </w:p>
    <w:p w14:paraId="75D1E796">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4</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浙南红都，浙江革命武装斗争策源地</w:t>
      </w:r>
    </w:p>
    <w:p w14:paraId="10AE6480">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5</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邹鲁名邦，文盛武魁人文荟萃地</w:t>
      </w:r>
    </w:p>
    <w:p w14:paraId="0D52317C">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名城特色</w:t>
      </w:r>
    </w:p>
    <w:p w14:paraId="25411141">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1</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四山为屏、山城相依的匠心选址布局</w:t>
      </w:r>
    </w:p>
    <w:p w14:paraId="4C3FAEB9">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2</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因地制宜、轴线布局的辩证营城智慧</w:t>
      </w:r>
    </w:p>
    <w:p w14:paraId="421ECD51">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3</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主街为骨、巷弄为脉的有机生长肌理</w:t>
      </w:r>
    </w:p>
    <w:p w14:paraId="32B77BA9">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4</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明清古韵、传承有序的浙南古建风貌</w:t>
      </w:r>
    </w:p>
    <w:p w14:paraId="440FD710">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eastAsia="黑体" w:cs="黑体"/>
          <w:b w:val="0"/>
          <w:color w:val="auto"/>
          <w:sz w:val="32"/>
          <w:szCs w:val="32"/>
          <w:highlight w:val="none"/>
          <w14:ligatures w14:val="none"/>
        </w:rPr>
      </w:pPr>
      <w:r>
        <w:rPr>
          <w:rFonts w:hint="eastAsia" w:ascii="黑体" w:hAnsi="黑体" w:eastAsia="黑体" w:cs="黑体"/>
          <w:b w:val="0"/>
          <w:color w:val="auto"/>
          <w:sz w:val="32"/>
          <w:szCs w:val="32"/>
          <w:highlight w:val="none"/>
          <w:lang w:eastAsia="zh-CN"/>
          <w14:ligatures w14:val="none"/>
        </w:rPr>
        <w:t>（四）</w:t>
      </w:r>
      <w:r>
        <w:rPr>
          <w:rFonts w:hint="eastAsia" w:ascii="黑体" w:hAnsi="黑体" w:eastAsia="黑体" w:cs="黑体"/>
          <w:b w:val="0"/>
          <w:color w:val="auto"/>
          <w:sz w:val="32"/>
          <w:szCs w:val="32"/>
          <w:highlight w:val="none"/>
          <w14:ligatures w14:val="none"/>
        </w:rPr>
        <w:t>规划期限与目标</w:t>
      </w:r>
    </w:p>
    <w:p w14:paraId="2EBA6465">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规划期限</w:t>
      </w:r>
    </w:p>
    <w:p w14:paraId="3FAA398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本规划的规划基期年为2020年，期限为2021至2035年，其中近中期为2021年至2030年，远期为2031至2035年，远景展望至2050年。</w:t>
      </w:r>
    </w:p>
    <w:p w14:paraId="006DCAC9">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规划目标</w:t>
      </w:r>
    </w:p>
    <w:p w14:paraId="0F09333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平阳优秀的历史文化遗产，实现对古城独特格局、文物古迹、历史文化街区、历史建筑的有效保护和可持续发展，建立名城风貌展示体系，保护和延续传统文化特色，改善老城居住生活环境，实现现代化城市发展和历史文化环境的有机融合。</w:t>
      </w:r>
    </w:p>
    <w:p w14:paraId="6EFEE001">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eastAsia="黑体" w:cs="黑体"/>
          <w:b w:val="0"/>
          <w:color w:val="auto"/>
          <w:sz w:val="32"/>
          <w:szCs w:val="32"/>
          <w:highlight w:val="none"/>
          <w14:ligatures w14:val="none"/>
        </w:rPr>
      </w:pPr>
      <w:r>
        <w:rPr>
          <w:rFonts w:hint="eastAsia" w:ascii="黑体" w:hAnsi="黑体" w:eastAsia="黑体" w:cs="黑体"/>
          <w:b w:val="0"/>
          <w:color w:val="auto"/>
          <w:sz w:val="32"/>
          <w:szCs w:val="32"/>
          <w:highlight w:val="none"/>
          <w:lang w:eastAsia="zh-CN"/>
          <w14:ligatures w14:val="none"/>
        </w:rPr>
        <w:t>（五）</w:t>
      </w:r>
      <w:r>
        <w:rPr>
          <w:rFonts w:hint="eastAsia" w:ascii="黑体" w:hAnsi="黑体" w:eastAsia="黑体" w:cs="黑体"/>
          <w:b w:val="0"/>
          <w:color w:val="auto"/>
          <w:sz w:val="32"/>
          <w:szCs w:val="32"/>
          <w:highlight w:val="none"/>
          <w14:ligatures w14:val="none"/>
        </w:rPr>
        <w:t>县域历史文化遗产保护</w:t>
      </w:r>
    </w:p>
    <w:p w14:paraId="42E48AF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规划根据平阳县域的资源分布特征和价值定位，形成“一核、三带、五片”的总体保护结构。明确历史城区的核心地位，加强历史城区与鳌江、瑞平塘河－西塘河、雁荡山风景名胜区、南麂列岛自然保护区、红色遗迹、历史文化名镇、名村、传统村落等保护对象的互补，形成整体保护格局。</w:t>
      </w:r>
    </w:p>
    <w:p w14:paraId="54B362D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一核：是指以平阳历史城区为历史文化保护核心；</w:t>
      </w:r>
    </w:p>
    <w:p w14:paraId="00E2E44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三带：是指依托鳌江、南雁荡山、瑞平塘河－西塘河形成的特色文化展示带，分别是鳌江文化带、南雁荡山文化带、瑞平塘河－西塘河文化带；</w:t>
      </w:r>
    </w:p>
    <w:p w14:paraId="1B5BAD3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五片：是指自然山水人文保护片、浙南红色文化保护片、北港田园生态保护片、塘河商贸文化保护片、南麂海洋文化保护片。</w:t>
      </w:r>
    </w:p>
    <w:p w14:paraId="2711E144">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历史文化核心保护</w:t>
      </w:r>
    </w:p>
    <w:p w14:paraId="73FBC67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重点保护平阳古城历史城区、历史文化街区、历史地段、不可移动文物、历史建筑等历史资源，保护历史城区传统山水格局、古城格局、其他历史环境要素、传统街巷等历史文化资源要素。</w:t>
      </w:r>
    </w:p>
    <w:p w14:paraId="1CF9430C">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历史文化带保护</w:t>
      </w:r>
    </w:p>
    <w:p w14:paraId="218DD8A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鳌江文化带：以鳌江为主要轴线，重点对两岸历史文化遗存、传统聚落等资源进行发掘与保护；</w:t>
      </w:r>
    </w:p>
    <w:p w14:paraId="59BC9E4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南雁荡山文化带：以南雁荡山山脉区域为主要保护带，重点对南雁荡山风景区内的历史文化遗存以及周边传统村落、历史文化名村等进行保护；</w:t>
      </w:r>
    </w:p>
    <w:p w14:paraId="3412264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瑞平塘河－西塘河文化带：主要以瑞平塘河-西塘河河网为主要保护片，重点保护区域内商贸文化集镇、重点商贸片区以及相关商贸文化遗存。</w:t>
      </w:r>
    </w:p>
    <w:p w14:paraId="375322A6">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历史文化街区保护</w:t>
      </w:r>
    </w:p>
    <w:p w14:paraId="0B64FE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自然山水人文保护片：重点保护雁荡山风景名胜区内的山林古道、人文遗迹、寺观庙宇。加强自然山水与周边山门、顺溪、青街等乡镇等融合发展，有效串联整合绿色生态、红色文化、畲乡民俗等资源，促进区域人文与自然有机融合。</w:t>
      </w:r>
    </w:p>
    <w:p w14:paraId="3C7B46E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浙南红色文化保护片：重点保护凤卧镇、山门镇等区域的红色文化资源，包括中共浙江省一大纪念园、中国工农红军挺进师纪念园等历史文化资源。推动以红色文化为主题的文旅融合发展，打造“浙南红都”金名片。</w:t>
      </w:r>
    </w:p>
    <w:p w14:paraId="605AE6D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塘河商贸文化保护片：重点保护瑞平塘河－西塘河沿线商贸文化片区，如平阳古城、昆阳镇、万全镇等；重点保护商贸文化重要载体，如坡南街历史文化街区、东门街历史文化街区等；对沿河的古埠头等进行重点发掘与保护，发掘商贸文化线路，发展特色文旅游线，促进片区文化发展。</w:t>
      </w:r>
    </w:p>
    <w:p w14:paraId="1A570D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北港田园生态保护片：重点保护北港区域内的田园生态景观与传统农耕文化，包括古水利设施、古桥、古树、传统村落等；加强田园风貌整治与生态修复，推动农文旅融合发展，打造以田园生态为特色的文化体验片区。</w:t>
      </w:r>
    </w:p>
    <w:p w14:paraId="189EFC2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南麂海洋文化保护片：以海西镇和南麂列岛为双核心，发掘海贸、海防及海洋生态文化特色。陆域重点依托海西镇保护沿海海防遗址、船屯遗址等资源；海域重点保护南麂列岛国家级自然保护区，保持岛屿原貌，保护自然生态环境与海洋生物多样性，适度开展以海洋科普为特色的生态旅游。</w:t>
      </w:r>
    </w:p>
    <w:p w14:paraId="263C7694">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eastAsia="黑体" w:cs="黑体"/>
          <w:b w:val="0"/>
          <w:color w:val="auto"/>
          <w:sz w:val="32"/>
          <w:szCs w:val="32"/>
          <w:highlight w:val="none"/>
          <w14:ligatures w14:val="none"/>
        </w:rPr>
      </w:pPr>
      <w:r>
        <w:rPr>
          <w:rFonts w:hint="eastAsia" w:ascii="黑体" w:hAnsi="黑体" w:eastAsia="黑体" w:cs="黑体"/>
          <w:b w:val="0"/>
          <w:color w:val="auto"/>
          <w:sz w:val="32"/>
          <w:szCs w:val="32"/>
          <w:highlight w:val="none"/>
          <w:lang w:eastAsia="zh-CN"/>
          <w14:ligatures w14:val="none"/>
        </w:rPr>
        <w:t>（六）</w:t>
      </w:r>
      <w:r>
        <w:rPr>
          <w:rFonts w:hint="eastAsia" w:ascii="黑体" w:hAnsi="黑体" w:eastAsia="黑体" w:cs="黑体"/>
          <w:b w:val="0"/>
          <w:color w:val="auto"/>
          <w:sz w:val="32"/>
          <w:szCs w:val="32"/>
          <w:highlight w:val="none"/>
          <w14:ligatures w14:val="none"/>
        </w:rPr>
        <w:t>历史城区保护</w:t>
      </w:r>
    </w:p>
    <w:p w14:paraId="789DE2C1">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保护区划划定</w:t>
      </w:r>
    </w:p>
    <w:p w14:paraId="5C1101E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结合《历史文化名城保护规划标准》（GB/T50357-2018）中的划定原则，综合考虑平阳古城历史格局、山水形胜及现状建设情况，确定平阳县历史城区范围。其外围四至为：北至平阳古城北护城河北岸，西至隧洞东路及昆山（九凰山）山体，南至师范路及昆鳌大道道路中线，东至昆鳌路道路中线、仙坛山（东门山）山体及联东路。因温福高铁自中部穿越，本次划定将高铁桥梁外侧南北各10米区域划为铁路防护带，不纳入历史城区范围，历史城区相应分为南北两片，总面积约1.16平方公里。</w:t>
      </w:r>
    </w:p>
    <w:p w14:paraId="13828ABB">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保护结构</w:t>
      </w:r>
    </w:p>
    <w:p w14:paraId="1210E7E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本规划所提出的历史城区总体保护结构为：一轴、两片、三脉、四屏、五节点。</w:t>
      </w:r>
    </w:p>
    <w:p w14:paraId="2D9E27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一轴：鸣山、文昌阁、古城、通福门、坡南</w:t>
      </w:r>
      <w:r>
        <w:rPr>
          <w:rFonts w:hint="eastAsia" w:ascii="仿宋_GB2312" w:hAnsi="仿宋_GB2312" w:eastAsia="仿宋_GB2312" w:cs="仿宋_GB2312"/>
          <w:color w:val="auto"/>
          <w:sz w:val="32"/>
          <w:szCs w:val="32"/>
          <w:highlight w:val="none"/>
          <w:lang w:val="en-US" w:eastAsia="zh-CN"/>
        </w:rPr>
        <w:t>街</w:t>
      </w:r>
      <w:r>
        <w:rPr>
          <w:rFonts w:hint="eastAsia" w:ascii="仿宋_GB2312" w:hAnsi="仿宋_GB2312" w:eastAsia="仿宋_GB2312" w:cs="仿宋_GB2312"/>
          <w:color w:val="auto"/>
          <w:sz w:val="32"/>
          <w:szCs w:val="32"/>
          <w:highlight w:val="none"/>
        </w:rPr>
        <w:t>历史文化街区、龙山、文明塔所形成的传统中轴线，以此为主轴串联历史遗存，形成平阳名城保护的主轴。</w:t>
      </w:r>
    </w:p>
    <w:p w14:paraId="27536B0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两片：以坡南街历史文化街区、东门街历史文化街区历史为文化名城的重要载体，集中保护和展示古城现存的历史风貌特色。</w:t>
      </w:r>
    </w:p>
    <w:p w14:paraId="463EDE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三脉：以瑞平塘河（含护城河北残段）、西塘河（含宕垟河）、平宋塘河（含护城河东残段），与传统道路格局共同组成传统格局保护的主要骨架。</w:t>
      </w:r>
    </w:p>
    <w:p w14:paraId="74EB2D0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四屏：以鸣山、龙山、仙坛山（东门山）、昆山（九凰山）为自然环境的主要控制区域，保护山体自然地貌，控制整体的外部风貌和格局环境。</w:t>
      </w:r>
    </w:p>
    <w:p w14:paraId="7D2BD69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五节点：鸣山和鸣山村节点、文昌阁节点、县前街节点、通福门节点、龙山和文明塔节点（龙山公园）。</w:t>
      </w:r>
    </w:p>
    <w:p w14:paraId="15D41F5F">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eastAsia="黑体" w:cs="黑体"/>
          <w:b w:val="0"/>
          <w:color w:val="auto"/>
          <w:sz w:val="32"/>
          <w:szCs w:val="32"/>
          <w:highlight w:val="none"/>
          <w14:ligatures w14:val="none"/>
        </w:rPr>
      </w:pPr>
      <w:r>
        <w:rPr>
          <w:rFonts w:hint="eastAsia" w:ascii="黑体" w:hAnsi="黑体" w:eastAsia="黑体" w:cs="黑体"/>
          <w:b w:val="0"/>
          <w:color w:val="auto"/>
          <w:sz w:val="32"/>
          <w:szCs w:val="32"/>
          <w:highlight w:val="none"/>
          <w:lang w:eastAsia="zh-CN"/>
          <w14:ligatures w14:val="none"/>
        </w:rPr>
        <w:t>（七）</w:t>
      </w:r>
      <w:r>
        <w:rPr>
          <w:rFonts w:hint="eastAsia" w:ascii="黑体" w:hAnsi="黑体" w:eastAsia="黑体" w:cs="黑体"/>
          <w:b w:val="0"/>
          <w:color w:val="auto"/>
          <w:sz w:val="32"/>
          <w:szCs w:val="32"/>
          <w:highlight w:val="none"/>
          <w14:ligatures w14:val="none"/>
        </w:rPr>
        <w:t>历史文化街区、历史地段保护</w:t>
      </w:r>
    </w:p>
    <w:p w14:paraId="05C44220">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历史文化街区保护内容</w:t>
      </w:r>
    </w:p>
    <w:p w14:paraId="55298B7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保护已公布的2片省级历史文化街区，分别是坡南街历史文化街区和东门街历史文化街区。</w:t>
      </w:r>
    </w:p>
    <w:p w14:paraId="35D7EC6F">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历史文化街区保护区划</w:t>
      </w:r>
    </w:p>
    <w:p w14:paraId="37962B80">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1</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坡南街历史文化街区</w:t>
      </w:r>
    </w:p>
    <w:p w14:paraId="04FD005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坡南街历史文化街区的保护范围</w:t>
      </w:r>
      <w:r>
        <w:rPr>
          <w:rFonts w:ascii="仿宋_GB2312" w:hAnsi="仿宋_GB2312" w:eastAsia="仿宋_GB2312" w:cs="仿宋_GB2312"/>
          <w:color w:val="auto"/>
          <w:sz w:val="32"/>
          <w:szCs w:val="32"/>
          <w:highlight w:val="none"/>
        </w:rPr>
        <w:t>包括核心保护范围和建设控制地带，</w:t>
      </w:r>
      <w:r>
        <w:rPr>
          <w:rFonts w:hint="eastAsia" w:ascii="仿宋_GB2312" w:hAnsi="仿宋_GB2312" w:eastAsia="仿宋_GB2312" w:cs="仿宋_GB2312"/>
          <w:color w:val="auto"/>
          <w:sz w:val="32"/>
          <w:szCs w:val="32"/>
          <w:highlight w:val="none"/>
        </w:rPr>
        <w:t>总面积为44.24公顷。其四至范围为：北起通福门广场，南至平师路，东至昆鳌路，西至沿山路，另外包括昆鳌路东侧的学宫遗物和东林禅寺的保护范围及建设控制地带。</w:t>
      </w:r>
    </w:p>
    <w:p w14:paraId="4F17C0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核心保护范围：北起通福门，南至平师路，东西两侧沿坡南街外扩，另外包括学宫遗物和东林禅寺的保护范围，面积18.36公顷。</w:t>
      </w:r>
    </w:p>
    <w:p w14:paraId="5D3A322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建设控制地带：北起通福门，南至平师路，东西两侧沿核心保护范围外扩至沿山路和昆鳌路，另外包括学宫遗物和东林禅寺的建设控制地带，面积25.88公顷。</w:t>
      </w:r>
    </w:p>
    <w:p w14:paraId="1CA2E1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环境协调区：结合实际需要，划定环境协调区，范围北起通福门，南至平师路，东西两侧沿建设控制地带外扩至仙坛山（东门山）和昆山（九凰山），面积为63.08公顷。</w:t>
      </w:r>
    </w:p>
    <w:p w14:paraId="2FB6A0B3">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2</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东门街历史文化街区</w:t>
      </w:r>
    </w:p>
    <w:p w14:paraId="0C3FCA3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东门街历史文化街区的保护范围</w:t>
      </w:r>
      <w:r>
        <w:rPr>
          <w:rFonts w:ascii="仿宋_GB2312" w:hAnsi="仿宋_GB2312" w:eastAsia="仿宋_GB2312" w:cs="仿宋_GB2312"/>
          <w:color w:val="auto"/>
          <w:sz w:val="32"/>
          <w:szCs w:val="32"/>
          <w:highlight w:val="none"/>
        </w:rPr>
        <w:t>包括核心保护范围和建设控制地带，</w:t>
      </w:r>
      <w:r>
        <w:rPr>
          <w:rFonts w:hint="eastAsia" w:ascii="仿宋_GB2312" w:hAnsi="仿宋_GB2312" w:eastAsia="仿宋_GB2312" w:cs="仿宋_GB2312"/>
          <w:color w:val="auto"/>
          <w:sz w:val="32"/>
          <w:szCs w:val="32"/>
          <w:highlight w:val="none"/>
        </w:rPr>
        <w:t>总面积为6.49公顷。其四至范围为：北至雅河路南侧建筑，西至解放街东侧建筑，东至联东路规划路段西侧建筑，南至平瑞路、仙坛寺与仙坛公园。</w:t>
      </w:r>
    </w:p>
    <w:p w14:paraId="063E96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核心保护范围：包括东门街、东吊桥路、大巷、东门横街、水溪头路沿街两侧建筑群和仙坛寺范围，以及黄光故居一处飞地，面积2.19公顷；</w:t>
      </w:r>
    </w:p>
    <w:p w14:paraId="2A2DD3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建设控制地带：为核心保护范围外拓5—60米范围，至周边现状道路、建筑及山体等高线，面积4.30公顷。</w:t>
      </w:r>
    </w:p>
    <w:p w14:paraId="3B04B4D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环境协调区：结合实际需要，划定环境协调区，范围南至仙坛寺、仙坛公园周边山体与沿山部分住宅区，北至雅河路，西至解放街，东至规划联东路规划路段，面积为8.46公顷。</w:t>
      </w:r>
    </w:p>
    <w:p w14:paraId="3E9A7007">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bookmarkStart w:id="0" w:name="_Toc229497516"/>
      <w:bookmarkStart w:id="1" w:name="_Toc231226150"/>
      <w:bookmarkStart w:id="2" w:name="_Toc229417909"/>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核心保护范围保护要求</w:t>
      </w:r>
      <w:bookmarkEnd w:id="0"/>
      <w:bookmarkEnd w:id="1"/>
      <w:bookmarkEnd w:id="2"/>
    </w:p>
    <w:p w14:paraId="45C880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（1）对历史文化街区核心保护范围内的建（构）筑物，应根据其保护等级、保护价值、建筑风貌、建造年代、保存现状等因素实施分类保护，分别采取相应的保护措施。</w:t>
      </w:r>
    </w:p>
    <w:p w14:paraId="380224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2）在历史文化街区核心保护范围内，除必要的基础设施和公共服务设施外，不得进行新建、扩建等活动。经批准允许的新建、扩建的必要基础设施和公共服务设施，应履行相应审批程序，新建建筑风貌与街区历史风貌相协调。</w:t>
      </w:r>
    </w:p>
    <w:p w14:paraId="453FD94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3）历史文化街区核心保护范围内的不可移动文物和历史建筑不得拆除和破坏，规划确定的传统风貌建筑原则上不得拆除。历史文化街区核心保护范围内拆除建（构）筑物或其他设施，应当由平阳县人民政府住房城乡建设主管部门会同同级文物主管部门批准。</w:t>
      </w:r>
    </w:p>
    <w:p w14:paraId="3D8081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（4）在历史文化街区核心保护范围的主要出入口设置标志牌。任何单位和个人不得擅自设置、移动、涂改或损毁标志牌。</w:t>
      </w:r>
    </w:p>
    <w:p w14:paraId="05E63870">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bookmarkStart w:id="3" w:name="_Toc231226151"/>
      <w:bookmarkStart w:id="4" w:name="_Toc229497517"/>
      <w:bookmarkStart w:id="5" w:name="_Toc229417910"/>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建设控制地带管理规定</w:t>
      </w:r>
      <w:bookmarkEnd w:id="3"/>
      <w:bookmarkEnd w:id="4"/>
      <w:bookmarkEnd w:id="5"/>
    </w:p>
    <w:p w14:paraId="6C0FE0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（1）历史文化街区建设控制地带内的不可移动文物、历史建筑的本体及环境，应采取重点保护。对上述历史遗存的保护、修缮工程，应当符合相关法律法规的规定，办理相关手续后方可进行。</w:t>
      </w:r>
    </w:p>
    <w:p w14:paraId="382B2B5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（2）历史文化街区建设控制地带内不得擅自改变街巷空间格局，对现有街巷进行改建时，应当保持或恢复其原有的道路走向、街巷界面风貌和景观特征。</w:t>
      </w:r>
    </w:p>
    <w:p w14:paraId="6B2A37A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（3）历史文化街区建设控制地带内的新建、改建建筑，在高度、体量、色彩等方面应与街区的历史风貌相协调。</w:t>
      </w:r>
    </w:p>
    <w:p w14:paraId="4DA6622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r>
        <w:rPr>
          <w:rFonts w:hint="eastAsia" w:ascii="仿宋_GB2312" w:hAnsi="仿宋_GB2312" w:eastAsia="仿宋_GB2312" w:cs="仿宋_GB2312"/>
          <w:color w:val="auto"/>
          <w:sz w:val="32"/>
          <w:szCs w:val="32"/>
          <w:highlight w:val="none"/>
          <w:lang w:bidi="en-US"/>
        </w:rPr>
        <w:t>（4）对已建成的与历史风貌不协调的多层和高层建筑，在条件允许的情况下，近期整治或改造，远期拆除重建，循序渐进地逐步恢复街区的空间格局和历史环境。</w:t>
      </w:r>
    </w:p>
    <w:p w14:paraId="03105381">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历史地段保护内容</w:t>
      </w:r>
    </w:p>
    <w:p w14:paraId="24602D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历史地段是指历史遗存丰富、人文景观与自然环境相融合，能够真实反映一定历史时期传统风貌和民族、地方特色并保存一定文化环境的地段。平阳县域内目前尚无公布的历史地段，规划结合平阳县域内遗产布局特征与价值特色，提出拟推荐历史地段3处，分别为：南雁镇东门老街历史地段、山门镇山门老街历史地段、鳌江镇钱仓老街历史地段。</w:t>
      </w:r>
    </w:p>
    <w:p w14:paraId="18BD1184">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eastAsia="黑体" w:cs="黑体"/>
          <w:b w:val="0"/>
          <w:color w:val="auto"/>
          <w:sz w:val="32"/>
          <w:szCs w:val="32"/>
          <w:highlight w:val="none"/>
          <w14:ligatures w14:val="none"/>
        </w:rPr>
      </w:pPr>
      <w:r>
        <w:rPr>
          <w:rFonts w:hint="eastAsia" w:ascii="黑体" w:hAnsi="黑体" w:eastAsia="黑体" w:cs="黑体"/>
          <w:b w:val="0"/>
          <w:color w:val="auto"/>
          <w:sz w:val="32"/>
          <w:szCs w:val="32"/>
          <w:highlight w:val="none"/>
          <w:lang w:eastAsia="zh-CN"/>
          <w14:ligatures w14:val="none"/>
        </w:rPr>
        <w:t>（八）</w:t>
      </w:r>
      <w:r>
        <w:rPr>
          <w:rFonts w:hint="eastAsia" w:ascii="黑体" w:hAnsi="黑体" w:eastAsia="黑体" w:cs="黑体"/>
          <w:b w:val="0"/>
          <w:color w:val="auto"/>
          <w:sz w:val="32"/>
          <w:szCs w:val="32"/>
          <w:highlight w:val="none"/>
          <w14:ligatures w14:val="none"/>
        </w:rPr>
        <w:t>历史文化遗产展示与利用</w:t>
      </w:r>
    </w:p>
    <w:p w14:paraId="2855B2EC">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bookmarkStart w:id="6" w:name="_Toc229418022"/>
      <w:bookmarkStart w:id="7" w:name="_Toc231226191"/>
      <w:bookmarkStart w:id="8" w:name="_Toc229497636"/>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县域展示与利用</w:t>
      </w:r>
      <w:bookmarkEnd w:id="6"/>
      <w:bookmarkEnd w:id="7"/>
      <w:bookmarkEnd w:id="8"/>
    </w:p>
    <w:p w14:paraId="7ABDC3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构建“文化展示线路+重点展示区域+文化展示资源点”的点、线、面相结合的县域历史文化遗产展示利用总体结构。</w:t>
      </w:r>
    </w:p>
    <w:p w14:paraId="5D02E9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文化展示线路：打造以鳌江文化展示带、瑞平塘河－西塘河文化展示带、南雁荡山文化展示带为主的县域历史文化展示线路系统。</w:t>
      </w:r>
    </w:p>
    <w:p w14:paraId="53D5523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重点展示区：平阳重要主题历史文化资源集中、与文化线路关联度较大的区域。以鳌江文化重点展示区域、塘河文化重点展示区域、南雁荡山文化重点展示区域、红色文化重点展示区域、海洋文化重点展示区域五个重点展示区域作为平阳县域历史文化的核心展示区域。</w:t>
      </w:r>
    </w:p>
    <w:p w14:paraId="39BFBA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文化展示资源点：由散布在各文化展示线路沿线的各级文物保护单位、历史建筑、古村落等文化遗产资源点构成，分为鳌江文化展示资源点、塘河文化展示资源点、南雁荡山文化展示资源点、红色文化展示资源点、海洋文化展示资源点，基本涵盖平阳县域最具特色的历史文化资源。</w:t>
      </w:r>
    </w:p>
    <w:p w14:paraId="0B50ABA3">
      <w:pPr>
        <w:pStyle w:val="4"/>
        <w:keepNext w:val="0"/>
        <w:keepLines w:val="0"/>
        <w:pageBreakBefore w:val="0"/>
        <w:widowControl w:val="0"/>
        <w:numPr>
          <w:ilvl w:val="2"/>
          <w:numId w:val="0"/>
        </w:numPr>
        <w:kinsoku/>
        <w:wordWrap/>
        <w:overflowPunct/>
        <w:topLinePunct w:val="0"/>
        <w:autoSpaceDE/>
        <w:autoSpaceDN/>
        <w:bidi w:val="0"/>
        <w:adjustRightInd/>
        <w:snapToGrid/>
        <w:spacing w:before="0" w:after="0" w:line="560" w:lineRule="exact"/>
        <w:ind w:left="0" w:leftChars="0"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历史城区展示与利用</w:t>
      </w:r>
    </w:p>
    <w:p w14:paraId="30D540D1">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bookmarkStart w:id="9" w:name="_Toc229418028"/>
      <w:bookmarkStart w:id="10" w:name="_Toc229497642"/>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1</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展示内容</w:t>
      </w:r>
      <w:bookmarkEnd w:id="9"/>
      <w:bookmarkEnd w:id="10"/>
    </w:p>
    <w:p w14:paraId="002459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展示鸣山、昆山（九凰山）、仙坛山（东门山）、龙山的古城山水环境。</w:t>
      </w:r>
    </w:p>
    <w:p w14:paraId="0D78703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展示平阳古城轮廓及护城河遗址；</w:t>
      </w:r>
    </w:p>
    <w:p w14:paraId="6075751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展示坡南街历史文化街区、东门街历史文化街区两处历史文化街区；</w:t>
      </w:r>
    </w:p>
    <w:p w14:paraId="151A32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展示坡南街、东门横街、东门街、解元坊路、城隍路、弓桥路、水溪头路等重要传统街巷；</w:t>
      </w:r>
    </w:p>
    <w:p w14:paraId="290102B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展示文明塔、师儒侍养牌坊、通福门、仙坛寺、东林禅寺、东岳观、坡南街古桥群等重要古建筑和近代公共建筑遗存、历史环境要素。</w:t>
      </w:r>
    </w:p>
    <w:p w14:paraId="26D0DB5A">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bookmarkStart w:id="11" w:name="_Toc229497643"/>
      <w:bookmarkStart w:id="12" w:name="_Toc229418029"/>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2</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展示路线</w:t>
      </w:r>
      <w:bookmarkEnd w:id="11"/>
      <w:bookmarkEnd w:id="12"/>
    </w:p>
    <w:p w14:paraId="357BD5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依托古城轮廓建设古城遗址展示环，重点展示现存古城护城河遗址，在环城景观带建设过程中，可对部分区域城墙遗址进行发掘，若有地下基础，可选取部分区域作为古城遗址特色展示点，结合绿化、铺装、标识等方式展示古城历史城墙、城门位置。</w:t>
      </w:r>
    </w:p>
    <w:p w14:paraId="6AAC06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依托古城“龙山—文明塔—坡南街历史文化街区—通福门—解放街—东门街历史文化街区—文昌阁”中轴线构建古城格局展示轴。通过绿化、文化小品、铺地等方式展示平阳古城文化等传统古城格局风貌，重点展示坡南街沿线古代商贸繁荣景象，展示文明塔、通福门、文昌阁等重要历史文化遗存。</w:t>
      </w:r>
    </w:p>
    <w:p w14:paraId="648C54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依托坡南街、解放街、东门街、东门横街等重要传统街巷构建重要历史街巷展示线，重点展示传统街巷肌理空间、串联沿线不可移动文物、历史建筑、历史环境要素等重要文化遗存，展示古城风貌特色。</w:t>
      </w:r>
    </w:p>
    <w:p w14:paraId="768E22DE">
      <w:pPr>
        <w:pStyle w:val="5"/>
        <w:keepNext w:val="0"/>
        <w:keepLines w:val="0"/>
        <w:pageBreakBefore w:val="0"/>
        <w:widowControl w:val="0"/>
        <w:numPr>
          <w:ilvl w:val="3"/>
          <w:numId w:val="0"/>
        </w:numPr>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bidi="en-US"/>
        </w:rPr>
      </w:pPr>
      <w:bookmarkStart w:id="13" w:name="_Toc229418030"/>
      <w:bookmarkStart w:id="14" w:name="_Toc229497644"/>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val="en-US" w:eastAsia="zh-CN" w:bidi="en-US"/>
        </w:rPr>
        <w:t>3</w:t>
      </w:r>
      <w:r>
        <w:rPr>
          <w:rFonts w:hint="eastAsia" w:ascii="仿宋_GB2312" w:hAnsi="仿宋_GB2312" w:eastAsia="仿宋_GB2312" w:cs="仿宋_GB2312"/>
          <w:color w:val="auto"/>
          <w:sz w:val="32"/>
          <w:szCs w:val="32"/>
          <w:highlight w:val="none"/>
          <w:lang w:eastAsia="zh-CN" w:bidi="en-US"/>
        </w:rPr>
        <w:t>）</w:t>
      </w:r>
      <w:r>
        <w:rPr>
          <w:rFonts w:hint="eastAsia" w:ascii="仿宋_GB2312" w:hAnsi="仿宋_GB2312" w:eastAsia="仿宋_GB2312" w:cs="仿宋_GB2312"/>
          <w:color w:val="auto"/>
          <w:sz w:val="32"/>
          <w:szCs w:val="32"/>
          <w:highlight w:val="none"/>
          <w:lang w:bidi="en-US"/>
        </w:rPr>
        <w:t>重点展示片区</w:t>
      </w:r>
      <w:bookmarkEnd w:id="13"/>
      <w:bookmarkEnd w:id="14"/>
    </w:p>
    <w:p w14:paraId="45DC94B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重点展示历史城区两侧仙坛山（东门山）、昆山（九凰山）自然人文景观片区，保护仙坛寺、东林禅寺、七如来塔、陈云楼墓等历史人文遗存，优化山体景观，建设山体观景步道、眺望点等。</w:t>
      </w:r>
    </w:p>
    <w:p w14:paraId="30D860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坡南街历史文化街区、东门街历史文化街区是古城传统风貌和历史文化的集中展示片区，重点展示古城格局、历史文化、传统风貌、特色商业、民居等历史遗存。依托通福门、茶亭遗址、东门街护城河等遗存展示古城历史景象；依托李同泰纸店旧址、回春堂药店旧址</w:t>
      </w:r>
      <w:r>
        <w:rPr>
          <w:rFonts w:ascii="仿宋_GB2312" w:hAnsi="仿宋_GB2312" w:eastAsia="仿宋_GB2312" w:cs="仿宋_GB2312"/>
          <w:color w:val="auto"/>
          <w:sz w:val="32"/>
          <w:szCs w:val="32"/>
          <w:highlight w:val="none"/>
        </w:rPr>
        <w:t>、黄泰昌酒坊旧址</w:t>
      </w:r>
      <w:r>
        <w:rPr>
          <w:rFonts w:hint="eastAsia" w:ascii="仿宋_GB2312" w:hAnsi="仿宋_GB2312" w:eastAsia="仿宋_GB2312" w:cs="仿宋_GB2312"/>
          <w:color w:val="auto"/>
          <w:sz w:val="32"/>
          <w:szCs w:val="32"/>
          <w:highlight w:val="none"/>
        </w:rPr>
        <w:t>等展示古城传统商业</w:t>
      </w:r>
      <w:r>
        <w:rPr>
          <w:rFonts w:ascii="仿宋_GB2312" w:hAnsi="仿宋_GB2312" w:eastAsia="仿宋_GB2312" w:cs="仿宋_GB2312"/>
          <w:color w:val="auto"/>
          <w:sz w:val="32"/>
          <w:szCs w:val="32"/>
          <w:highlight w:val="none"/>
        </w:rPr>
        <w:t>以及传统老字号特色</w:t>
      </w:r>
      <w:r>
        <w:rPr>
          <w:rFonts w:hint="eastAsia" w:ascii="仿宋_GB2312" w:hAnsi="仿宋_GB2312" w:eastAsia="仿宋_GB2312" w:cs="仿宋_GB2312"/>
          <w:color w:val="auto"/>
          <w:sz w:val="32"/>
          <w:szCs w:val="32"/>
          <w:highlight w:val="none"/>
        </w:rPr>
        <w:t>文化；依托曹熙小洋房、周乃堂故居、仕巷口陈宅陈氏民居</w:t>
      </w:r>
      <w:r>
        <w:rPr>
          <w:rFonts w:ascii="仿宋_GB2312" w:hAnsi="仿宋_GB2312" w:eastAsia="仿宋_GB2312" w:cs="仿宋_GB2312"/>
          <w:color w:val="auto"/>
          <w:sz w:val="32"/>
          <w:szCs w:val="32"/>
          <w:highlight w:val="none"/>
        </w:rPr>
        <w:t>、东门街郑宅、黄光故居等展示古城人民传统生活；依托坡南街、大巷路、凉伞巷、东吊桥路、东门街等传统街巷展示平阳古城传统巷弄格局；依托平阳烈士墓，构建平阳红色文化展示区域；依托坡南街古桥群，展示坡南传统古桥形式、建造技艺等；依托东岳观、仙坛寺，展示平阳宗教文化。</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74" w:bottom="1440"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3EFBD">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BE2A1">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19E5A">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A9E4A">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18DB3">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E4A06">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254958"/>
    <w:multiLevelType w:val="multilevel"/>
    <w:tmpl w:val="33254958"/>
    <w:lvl w:ilvl="0" w:tentative="0">
      <w:start w:val="1"/>
      <w:numFmt w:val="chineseCountingThousand"/>
      <w:pStyle w:val="2"/>
      <w:suff w:val="space"/>
      <w:lvlText w:val="%1、"/>
      <w:lvlJc w:val="left"/>
      <w:pPr>
        <w:ind w:left="425" w:hanging="425"/>
      </w:pPr>
      <w:rPr>
        <w:rFonts w:hint="eastAsia"/>
      </w:rPr>
    </w:lvl>
    <w:lvl w:ilvl="1" w:tentative="0">
      <w:start w:val="1"/>
      <w:numFmt w:val="chineseCountingThousand"/>
      <w:pStyle w:val="3"/>
      <w:suff w:val="space"/>
      <w:lvlText w:val="（%2）"/>
      <w:lvlJc w:val="left"/>
      <w:pPr>
        <w:ind w:left="1412" w:hanging="567"/>
      </w:pPr>
      <w:rPr>
        <w:rFonts w:hint="eastAsia"/>
      </w:rPr>
    </w:lvl>
    <w:lvl w:ilvl="2" w:tentative="0">
      <w:start w:val="1"/>
      <w:numFmt w:val="decimal"/>
      <w:pStyle w:val="4"/>
      <w:suff w:val="space"/>
      <w:lvlText w:val="%3、"/>
      <w:lvlJc w:val="left"/>
      <w:pPr>
        <w:ind w:left="208" w:firstLine="0"/>
      </w:pPr>
      <w:rPr>
        <w:rFonts w:hint="eastAsia"/>
      </w:rPr>
    </w:lvl>
    <w:lvl w:ilvl="3" w:tentative="0">
      <w:start w:val="1"/>
      <w:numFmt w:val="decimal"/>
      <w:pStyle w:val="5"/>
      <w:suff w:val="space"/>
      <w:lvlText w:val="（%4）"/>
      <w:lvlJc w:val="left"/>
      <w:pPr>
        <w:ind w:left="42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E97"/>
    <w:rsid w:val="00082E49"/>
    <w:rsid w:val="00095526"/>
    <w:rsid w:val="00117C62"/>
    <w:rsid w:val="00140578"/>
    <w:rsid w:val="00140CE6"/>
    <w:rsid w:val="00146E97"/>
    <w:rsid w:val="00164EF5"/>
    <w:rsid w:val="0017236E"/>
    <w:rsid w:val="001B0AD5"/>
    <w:rsid w:val="001D4559"/>
    <w:rsid w:val="001D6245"/>
    <w:rsid w:val="00206FA1"/>
    <w:rsid w:val="00222EF1"/>
    <w:rsid w:val="002434BC"/>
    <w:rsid w:val="002565D6"/>
    <w:rsid w:val="00262FD6"/>
    <w:rsid w:val="002857D6"/>
    <w:rsid w:val="002C03DE"/>
    <w:rsid w:val="00345620"/>
    <w:rsid w:val="003B4017"/>
    <w:rsid w:val="003B7F6F"/>
    <w:rsid w:val="003D4156"/>
    <w:rsid w:val="003E0F85"/>
    <w:rsid w:val="003F3128"/>
    <w:rsid w:val="00430464"/>
    <w:rsid w:val="00456ABD"/>
    <w:rsid w:val="00490503"/>
    <w:rsid w:val="004F2E09"/>
    <w:rsid w:val="00541D12"/>
    <w:rsid w:val="00542725"/>
    <w:rsid w:val="00550A5E"/>
    <w:rsid w:val="00554E02"/>
    <w:rsid w:val="00583BA1"/>
    <w:rsid w:val="00585F25"/>
    <w:rsid w:val="00594447"/>
    <w:rsid w:val="005B3F6C"/>
    <w:rsid w:val="005B454A"/>
    <w:rsid w:val="00675B59"/>
    <w:rsid w:val="00685BCC"/>
    <w:rsid w:val="006B3198"/>
    <w:rsid w:val="00726313"/>
    <w:rsid w:val="00736937"/>
    <w:rsid w:val="00791725"/>
    <w:rsid w:val="007A66E6"/>
    <w:rsid w:val="007E1617"/>
    <w:rsid w:val="007E6F3E"/>
    <w:rsid w:val="00826C43"/>
    <w:rsid w:val="00890990"/>
    <w:rsid w:val="00943FCE"/>
    <w:rsid w:val="009779C1"/>
    <w:rsid w:val="009A6892"/>
    <w:rsid w:val="009D7258"/>
    <w:rsid w:val="009E6A8F"/>
    <w:rsid w:val="00A04404"/>
    <w:rsid w:val="00A32316"/>
    <w:rsid w:val="00B470F6"/>
    <w:rsid w:val="00B562EB"/>
    <w:rsid w:val="00BB7227"/>
    <w:rsid w:val="00BC38C5"/>
    <w:rsid w:val="00BD26CA"/>
    <w:rsid w:val="00BF6986"/>
    <w:rsid w:val="00C00F92"/>
    <w:rsid w:val="00C31109"/>
    <w:rsid w:val="00C73E5D"/>
    <w:rsid w:val="00CA0EDA"/>
    <w:rsid w:val="00CF08C7"/>
    <w:rsid w:val="00D07F55"/>
    <w:rsid w:val="00D224A3"/>
    <w:rsid w:val="00D575DF"/>
    <w:rsid w:val="00D654F7"/>
    <w:rsid w:val="00D81377"/>
    <w:rsid w:val="00E05398"/>
    <w:rsid w:val="00E145FE"/>
    <w:rsid w:val="00E64296"/>
    <w:rsid w:val="00EA7216"/>
    <w:rsid w:val="00F337FE"/>
    <w:rsid w:val="00FA5CA1"/>
    <w:rsid w:val="00FA7BF6"/>
    <w:rsid w:val="00FB159D"/>
    <w:rsid w:val="01DF5C17"/>
    <w:rsid w:val="023F2479"/>
    <w:rsid w:val="0AF73A94"/>
    <w:rsid w:val="0C7F607A"/>
    <w:rsid w:val="0DFD05E5"/>
    <w:rsid w:val="0FADEB78"/>
    <w:rsid w:val="129A5602"/>
    <w:rsid w:val="12FC56ED"/>
    <w:rsid w:val="13633F06"/>
    <w:rsid w:val="13E946D3"/>
    <w:rsid w:val="16C66FBE"/>
    <w:rsid w:val="18AD147F"/>
    <w:rsid w:val="1A09162B"/>
    <w:rsid w:val="1B040045"/>
    <w:rsid w:val="1B7295EF"/>
    <w:rsid w:val="1C6E5776"/>
    <w:rsid w:val="1F093E7B"/>
    <w:rsid w:val="22665141"/>
    <w:rsid w:val="228F4698"/>
    <w:rsid w:val="2446522A"/>
    <w:rsid w:val="29E78697"/>
    <w:rsid w:val="2BBE697E"/>
    <w:rsid w:val="2CF27CFD"/>
    <w:rsid w:val="2D0A773C"/>
    <w:rsid w:val="2E385BE3"/>
    <w:rsid w:val="2E6E1D41"/>
    <w:rsid w:val="2F951F86"/>
    <w:rsid w:val="303D1BD7"/>
    <w:rsid w:val="326E6078"/>
    <w:rsid w:val="32951856"/>
    <w:rsid w:val="36653B43"/>
    <w:rsid w:val="36962041"/>
    <w:rsid w:val="36EEDDE7"/>
    <w:rsid w:val="3BC9431F"/>
    <w:rsid w:val="3CD775F6"/>
    <w:rsid w:val="3E9E043A"/>
    <w:rsid w:val="3F9904AC"/>
    <w:rsid w:val="3FDF9BCF"/>
    <w:rsid w:val="3FFF5208"/>
    <w:rsid w:val="4081166C"/>
    <w:rsid w:val="41974398"/>
    <w:rsid w:val="42C56F23"/>
    <w:rsid w:val="4637549A"/>
    <w:rsid w:val="471843AC"/>
    <w:rsid w:val="4A396B13"/>
    <w:rsid w:val="4AD15074"/>
    <w:rsid w:val="4E8A3228"/>
    <w:rsid w:val="4F3E4570"/>
    <w:rsid w:val="4FB37368"/>
    <w:rsid w:val="505C355C"/>
    <w:rsid w:val="55284354"/>
    <w:rsid w:val="56981066"/>
    <w:rsid w:val="577F53A9"/>
    <w:rsid w:val="57EBDC06"/>
    <w:rsid w:val="59914276"/>
    <w:rsid w:val="5B1C2265"/>
    <w:rsid w:val="5C8E7618"/>
    <w:rsid w:val="5EA343E7"/>
    <w:rsid w:val="60377F79"/>
    <w:rsid w:val="61305BF0"/>
    <w:rsid w:val="65DD6A95"/>
    <w:rsid w:val="67C972D1"/>
    <w:rsid w:val="67F5F26B"/>
    <w:rsid w:val="68CFB1BF"/>
    <w:rsid w:val="6ABA9F3A"/>
    <w:rsid w:val="6C5A499B"/>
    <w:rsid w:val="6E6D3ACB"/>
    <w:rsid w:val="6EF673FF"/>
    <w:rsid w:val="6FBBBBCC"/>
    <w:rsid w:val="6FC5A2B8"/>
    <w:rsid w:val="75B9AB5A"/>
    <w:rsid w:val="760F4A49"/>
    <w:rsid w:val="769136B0"/>
    <w:rsid w:val="76D75987"/>
    <w:rsid w:val="785836DE"/>
    <w:rsid w:val="791F1447"/>
    <w:rsid w:val="7A163CF6"/>
    <w:rsid w:val="7B9B0F97"/>
    <w:rsid w:val="7BACD2D1"/>
    <w:rsid w:val="7F5D74B8"/>
    <w:rsid w:val="7F9B62EC"/>
    <w:rsid w:val="9F9FD4AB"/>
    <w:rsid w:val="AF65EE86"/>
    <w:rsid w:val="BDEE9FB1"/>
    <w:rsid w:val="DEBDCC15"/>
    <w:rsid w:val="DFF8B995"/>
    <w:rsid w:val="F27E0299"/>
    <w:rsid w:val="F69F8195"/>
    <w:rsid w:val="F7FF7B73"/>
    <w:rsid w:val="FCAC892E"/>
    <w:rsid w:val="FDF34C40"/>
    <w:rsid w:val="FEFF2E30"/>
    <w:rsid w:val="FF164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numPr>
        <w:ilvl w:val="0"/>
        <w:numId w:val="1"/>
      </w:numPr>
      <w:ind w:firstLine="0" w:firstLineChars="0"/>
      <w:outlineLvl w:val="0"/>
    </w:pPr>
    <w:rPr>
      <w:rFonts w:asciiTheme="majorHAnsi" w:hAnsiTheme="majorHAnsi" w:eastAsiaTheme="majorEastAsia" w:cstheme="majorBidi"/>
      <w:b/>
      <w:sz w:val="24"/>
      <w:szCs w:val="48"/>
    </w:rPr>
  </w:style>
  <w:style w:type="paragraph" w:styleId="3">
    <w:name w:val="heading 2"/>
    <w:basedOn w:val="1"/>
    <w:next w:val="1"/>
    <w:link w:val="19"/>
    <w:unhideWhenUsed/>
    <w:qFormat/>
    <w:uiPriority w:val="9"/>
    <w:pPr>
      <w:keepNext/>
      <w:keepLines/>
      <w:numPr>
        <w:ilvl w:val="1"/>
        <w:numId w:val="1"/>
      </w:numPr>
      <w:spacing w:before="160" w:after="80"/>
      <w:ind w:left="0" w:firstLine="0" w:firstLineChars="0"/>
      <w:jc w:val="center"/>
      <w:outlineLvl w:val="1"/>
    </w:pPr>
    <w:rPr>
      <w:rFonts w:asciiTheme="majorHAnsi" w:hAnsiTheme="majorHAnsi" w:eastAsiaTheme="majorEastAsia" w:cstheme="majorBidi"/>
      <w:b/>
      <w:szCs w:val="40"/>
    </w:rPr>
  </w:style>
  <w:style w:type="paragraph" w:styleId="4">
    <w:name w:val="heading 3"/>
    <w:basedOn w:val="1"/>
    <w:next w:val="1"/>
    <w:link w:val="20"/>
    <w:unhideWhenUsed/>
    <w:qFormat/>
    <w:uiPriority w:val="9"/>
    <w:pPr>
      <w:keepNext/>
      <w:keepLines/>
      <w:numPr>
        <w:ilvl w:val="2"/>
        <w:numId w:val="1"/>
      </w:numPr>
      <w:spacing w:before="160" w:after="80"/>
      <w:ind w:firstLineChars="0"/>
      <w:outlineLvl w:val="2"/>
    </w:pPr>
    <w:rPr>
      <w:rFonts w:asciiTheme="majorHAnsi" w:hAnsiTheme="majorHAnsi" w:eastAsiaTheme="majorEastAsia" w:cstheme="majorBidi"/>
      <w:b/>
      <w:szCs w:val="32"/>
    </w:rPr>
  </w:style>
  <w:style w:type="paragraph" w:styleId="5">
    <w:name w:val="heading 4"/>
    <w:basedOn w:val="1"/>
    <w:next w:val="1"/>
    <w:link w:val="21"/>
    <w:unhideWhenUsed/>
    <w:qFormat/>
    <w:uiPriority w:val="9"/>
    <w:pPr>
      <w:keepNext/>
      <w:keepLines/>
      <w:numPr>
        <w:ilvl w:val="3"/>
        <w:numId w:val="1"/>
      </w:numPr>
      <w:spacing w:before="80" w:after="40"/>
      <w:ind w:firstLineChars="0"/>
      <w:outlineLvl w:val="3"/>
    </w:pPr>
    <w:rPr>
      <w:rFonts w:cstheme="majorBidi"/>
      <w:szCs w:val="28"/>
    </w:rPr>
  </w:style>
  <w:style w:type="paragraph" w:styleId="6">
    <w:name w:val="heading 5"/>
    <w:basedOn w:val="1"/>
    <w:next w:val="1"/>
    <w:link w:val="22"/>
    <w:unhideWhenUsed/>
    <w:qFormat/>
    <w:uiPriority w:val="9"/>
    <w:pPr>
      <w:keepNext/>
      <w:keepLines/>
      <w:spacing w:before="80" w:after="40"/>
      <w:outlineLvl w:val="4"/>
    </w:pPr>
    <w:rPr>
      <w:rFonts w:cstheme="majorBidi"/>
      <w:color w:val="37609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37609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jc w:val="left"/>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b/>
      <w:sz w:val="24"/>
      <w:szCs w:val="48"/>
    </w:rPr>
  </w:style>
  <w:style w:type="character" w:customStyle="1" w:styleId="19">
    <w:name w:val="标题 2 字符"/>
    <w:basedOn w:val="17"/>
    <w:link w:val="3"/>
    <w:qFormat/>
    <w:uiPriority w:val="9"/>
    <w:rPr>
      <w:rFonts w:asciiTheme="majorHAnsi" w:hAnsiTheme="majorHAnsi" w:eastAsiaTheme="majorEastAsia" w:cstheme="majorBidi"/>
      <w:b/>
      <w:szCs w:val="40"/>
    </w:rPr>
  </w:style>
  <w:style w:type="character" w:customStyle="1" w:styleId="20">
    <w:name w:val="标题 3 字符"/>
    <w:basedOn w:val="17"/>
    <w:link w:val="4"/>
    <w:qFormat/>
    <w:uiPriority w:val="9"/>
    <w:rPr>
      <w:rFonts w:asciiTheme="majorHAnsi" w:hAnsiTheme="majorHAnsi" w:eastAsiaTheme="majorEastAsia" w:cstheme="majorBidi"/>
      <w:b/>
      <w:szCs w:val="32"/>
    </w:rPr>
  </w:style>
  <w:style w:type="character" w:customStyle="1" w:styleId="21">
    <w:name w:val="标题 4 字符"/>
    <w:basedOn w:val="17"/>
    <w:link w:val="5"/>
    <w:qFormat/>
    <w:uiPriority w:val="9"/>
    <w:rPr>
      <w:rFonts w:cstheme="majorBidi"/>
      <w:szCs w:val="28"/>
    </w:rPr>
  </w:style>
  <w:style w:type="character" w:customStyle="1" w:styleId="22">
    <w:name w:val="标题 5 字符"/>
    <w:basedOn w:val="17"/>
    <w:link w:val="6"/>
    <w:qFormat/>
    <w:uiPriority w:val="9"/>
    <w:rPr>
      <w:rFonts w:cstheme="majorBidi"/>
      <w:color w:val="376092" w:themeColor="accent1" w:themeShade="BF"/>
      <w:sz w:val="24"/>
      <w:szCs w:val="24"/>
    </w:rPr>
  </w:style>
  <w:style w:type="character" w:customStyle="1" w:styleId="23">
    <w:name w:val="标题 6 字符"/>
    <w:basedOn w:val="17"/>
    <w:link w:val="7"/>
    <w:semiHidden/>
    <w:qFormat/>
    <w:uiPriority w:val="9"/>
    <w:rPr>
      <w:rFonts w:cstheme="majorBidi"/>
      <w:b/>
      <w:bCs/>
      <w:color w:val="37609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376092" w:themeColor="accent1" w:themeShade="BF"/>
    </w:rPr>
  </w:style>
  <w:style w:type="paragraph" w:styleId="33">
    <w:name w:val="Intense Quote"/>
    <w:basedOn w:val="1"/>
    <w:next w:val="1"/>
    <w:link w:val="34"/>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4">
    <w:name w:val="明显引用 字符"/>
    <w:basedOn w:val="17"/>
    <w:link w:val="33"/>
    <w:qFormat/>
    <w:uiPriority w:val="30"/>
    <w:rPr>
      <w:i/>
      <w:iCs/>
      <w:color w:val="376092" w:themeColor="accent1" w:themeShade="BF"/>
    </w:rPr>
  </w:style>
  <w:style w:type="character" w:customStyle="1" w:styleId="35">
    <w:name w:val="明显参考1"/>
    <w:basedOn w:val="17"/>
    <w:qFormat/>
    <w:uiPriority w:val="32"/>
    <w:rPr>
      <w:b/>
      <w:bCs/>
      <w:smallCaps/>
      <w:color w:val="37609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paragraph" w:customStyle="1" w:styleId="38">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4A5ADCCA-C49A-43F8-ABC7-7109487B7D0D}">
  <ds:schemaRefs/>
</ds:datastoreItem>
</file>

<file path=docProps/app.xml><?xml version="1.0" encoding="utf-8"?>
<Properties xmlns="http://schemas.openxmlformats.org/officeDocument/2006/extended-properties" xmlns:vt="http://schemas.openxmlformats.org/officeDocument/2006/docPropsVTypes">
  <Template>Normal</Template>
  <Pages>15</Pages>
  <Words>7497</Words>
  <Characters>7656</Characters>
  <Lines>143</Lines>
  <Paragraphs>149</Paragraphs>
  <TotalTime>7</TotalTime>
  <ScaleCrop>false</ScaleCrop>
  <LinksUpToDate>false</LinksUpToDate>
  <CharactersWithSpaces>7656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2026-06-26T01:34:00Z</dcterms:created>
  <dc:creator>RUAN</dc:creator>
  <cp:lastModifiedBy>生</cp:lastModifiedBy>
  <dcterms:modified xsi:type="dcterms:W3CDTF">2026-07-08T11:10:59Z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eyJoZGlkIjoiODg2OGYxOTIzNWFjNDA0ZjdiMDcwMGYyMjgxY2M1MjEiLCJ1c2VySWQiOiIxNDgwOTM0MTc2In0=</vt:lpwstr>
  </property>
  <property fmtid="{D5CDD505-2E9C-101B-9397-08002B2CF9AE}" pid="3" name="KSOProductBuildVer">
    <vt:lpwstr>2052-12.1.2.25882</vt:lpwstr>
  </property>
  <property fmtid="{D5CDD505-2E9C-101B-9397-08002B2CF9AE}" pid="4" name="ICV">
    <vt:lpwstr>A29A5E8CD1164AC7BABF99B0A2DA1E39_13</vt:lpwstr>
  </property>
</Properties>
</file>